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0ADC" w14:textId="77777777" w:rsidR="00DE24F6" w:rsidRDefault="007B6C24">
      <w:pPr>
        <w:pStyle w:val="P68B1DB1-Normale1"/>
        <w:pBdr>
          <w:top w:val="nil"/>
          <w:left w:val="nil"/>
          <w:bottom w:val="nil"/>
          <w:right w:val="nil"/>
          <w:between w:val="nil"/>
          <w:bar w:val="nil"/>
        </w:pBdr>
        <w:ind w:left="2127"/>
        <w:jc w:val="both"/>
      </w:pPr>
      <w:bookmarkStart w:id="0" w:name="_Hlk97660673"/>
      <w:r>
        <w:tab/>
        <w:t xml:space="preserve">  </w:t>
      </w:r>
    </w:p>
    <w:p w14:paraId="73919DAA" w14:textId="77777777" w:rsidR="00DE24F6" w:rsidRDefault="00DE24F6">
      <w:pPr>
        <w:pBdr>
          <w:top w:val="nil"/>
          <w:left w:val="nil"/>
          <w:bottom w:val="nil"/>
          <w:right w:val="nil"/>
          <w:between w:val="nil"/>
          <w:bar w:val="nil"/>
        </w:pBdr>
        <w:ind w:left="2127"/>
        <w:jc w:val="both"/>
        <w:rPr>
          <w:rFonts w:eastAsia="Arial Unicode MS" w:cs="Arial Unicode MS"/>
          <w:color w:val="000000"/>
          <w:sz w:val="20"/>
          <w:u w:color="000000"/>
          <w:bdr w:val="nil"/>
        </w:rPr>
      </w:pPr>
    </w:p>
    <w:bookmarkEnd w:id="0"/>
    <w:p w14:paraId="2A6B05C5" w14:textId="500048DF" w:rsidR="00DE24F6" w:rsidRPr="00B9511F" w:rsidRDefault="00B9511F">
      <w:pPr>
        <w:ind w:left="2127" w:hanging="284"/>
        <w:jc w:val="both"/>
        <w:rPr>
          <w:lang w:val="fr-FR"/>
        </w:rPr>
      </w:pPr>
      <w:r>
        <w:t xml:space="preserve">       </w:t>
      </w:r>
      <w:r w:rsidR="007B6C24" w:rsidRPr="00B9511F">
        <w:rPr>
          <w:lang w:val="fr-FR"/>
        </w:rPr>
        <w:t>Communiqué de presse n. 39/2024</w:t>
      </w:r>
    </w:p>
    <w:p w14:paraId="7020C398" w14:textId="77777777" w:rsidR="00DE24F6" w:rsidRPr="00B9511F" w:rsidRDefault="00DE24F6">
      <w:pPr>
        <w:ind w:left="2268" w:hanging="284"/>
        <w:jc w:val="both"/>
        <w:rPr>
          <w:lang w:val="fr-FR"/>
        </w:rPr>
      </w:pPr>
    </w:p>
    <w:p w14:paraId="5A803FA2" w14:textId="77777777" w:rsidR="00DE24F6" w:rsidRPr="00B9511F" w:rsidRDefault="007B6C24">
      <w:pPr>
        <w:pStyle w:val="P68B1DB1-Normale2"/>
        <w:ind w:left="2268"/>
        <w:jc w:val="both"/>
        <w:rPr>
          <w:lang w:val="fr-FR"/>
        </w:rPr>
      </w:pPr>
      <w:r w:rsidRPr="00B9511F">
        <w:rPr>
          <w:lang w:val="fr-FR"/>
        </w:rPr>
        <w:t>Le succès de l'agriculture 4.0 : en 2024, un chiffre d'affaires de 2,3 milliards pour les entreprises intelligentes</w:t>
      </w:r>
    </w:p>
    <w:p w14:paraId="05161C32" w14:textId="77777777" w:rsidR="00DE24F6" w:rsidRPr="00B9511F" w:rsidRDefault="00DE24F6">
      <w:pPr>
        <w:ind w:left="2268"/>
        <w:jc w:val="both"/>
        <w:rPr>
          <w:b/>
          <w:lang w:val="fr-FR"/>
        </w:rPr>
      </w:pPr>
    </w:p>
    <w:p w14:paraId="3C4464AF" w14:textId="77777777" w:rsidR="00DE24F6" w:rsidRPr="00B9511F" w:rsidRDefault="007B6C24">
      <w:pPr>
        <w:pStyle w:val="P68B1DB1-Normale2"/>
        <w:ind w:left="2268"/>
        <w:jc w:val="both"/>
        <w:rPr>
          <w:lang w:val="fr-FR"/>
        </w:rPr>
      </w:pPr>
      <w:r w:rsidRPr="00B9511F">
        <w:rPr>
          <w:lang w:val="fr-FR"/>
        </w:rPr>
        <w:t xml:space="preserve">En six ans, les exploitations agricoles italiennes 4.0 ont gagné de plus en plus d'espace, générant un chiffre d'affaires de 2,3 milliards. Lors de la deuxième journée d'EIMA International, le salon mondial des machines pour l’agriculture et le jardinage, </w:t>
      </w:r>
      <w:r w:rsidRPr="00B9511F">
        <w:rPr>
          <w:lang w:val="fr-FR"/>
        </w:rPr>
        <w:t xml:space="preserve">l’analyse de l’observatoire Smart Agrifood de l'École polytechnique de Milan a été présentée. </w:t>
      </w:r>
    </w:p>
    <w:p w14:paraId="26D76218" w14:textId="77777777" w:rsidR="00DE24F6" w:rsidRPr="00B9511F" w:rsidRDefault="00DE24F6">
      <w:pPr>
        <w:ind w:left="2268"/>
        <w:jc w:val="both"/>
        <w:rPr>
          <w:b/>
          <w:lang w:val="fr-FR"/>
        </w:rPr>
      </w:pPr>
    </w:p>
    <w:p w14:paraId="2FDB085D" w14:textId="3FE5A952" w:rsidR="00DE24F6" w:rsidRPr="00B9511F" w:rsidRDefault="007B6C24">
      <w:pPr>
        <w:ind w:left="2268"/>
        <w:jc w:val="both"/>
        <w:rPr>
          <w:lang w:val="fr-FR"/>
        </w:rPr>
      </w:pPr>
      <w:r w:rsidRPr="00B9511F">
        <w:rPr>
          <w:lang w:val="fr-FR"/>
        </w:rPr>
        <w:t>En l'espace de seulement six ans, de 2017 à 2023, l’agriculture 4.0 en Italie a fait des pas de géant. En 2017, les entreprises numérisées totalisaient un chiff</w:t>
      </w:r>
      <w:r w:rsidRPr="00B9511F">
        <w:rPr>
          <w:lang w:val="fr-FR"/>
        </w:rPr>
        <w:t xml:space="preserve">re d'affaires de 100 millions d'euros, elles ont atteint </w:t>
      </w:r>
      <w:r w:rsidR="00B9511F" w:rsidRPr="00B9511F">
        <w:rPr>
          <w:lang w:val="fr-FR"/>
        </w:rPr>
        <w:t>l’an dernier</w:t>
      </w:r>
      <w:r w:rsidR="00B9511F" w:rsidRPr="00B9511F">
        <w:rPr>
          <w:lang w:val="fr-FR"/>
        </w:rPr>
        <w:t xml:space="preserve"> </w:t>
      </w:r>
      <w:r w:rsidRPr="00B9511F">
        <w:rPr>
          <w:lang w:val="fr-FR"/>
        </w:rPr>
        <w:t>2,3 milliards d'euros</w:t>
      </w:r>
      <w:r w:rsidRPr="00B9511F">
        <w:rPr>
          <w:lang w:val="fr-FR"/>
        </w:rPr>
        <w:t xml:space="preserve">. Une croissance du marché soutenue par l'augmentation constante du nombre d'entreprises qui ont innové dans l'optique 4.0 et qui, en 2024, ont atteint le seuil des </w:t>
      </w:r>
      <w:r w:rsidRPr="00B9511F">
        <w:rPr>
          <w:lang w:val="fr-FR"/>
        </w:rPr>
        <w:t>400 unités. L’analyse est celle de l'observatoire Smart Agrifood de l'École polytechnique de Milan et a été présentée lors de la 46</w:t>
      </w:r>
      <w:r w:rsidRPr="00B9511F">
        <w:rPr>
          <w:vertAlign w:val="superscript"/>
          <w:lang w:val="fr-FR"/>
        </w:rPr>
        <w:t>e</w:t>
      </w:r>
      <w:r w:rsidRPr="00B9511F">
        <w:rPr>
          <w:lang w:val="fr-FR"/>
        </w:rPr>
        <w:t xml:space="preserve"> édition d'Eima, le salon international des machines pour l’agriculture et le jardinage, qui se déroule en ce moment dans le</w:t>
      </w:r>
      <w:r w:rsidRPr="00B9511F">
        <w:rPr>
          <w:lang w:val="fr-FR"/>
        </w:rPr>
        <w:t>s pavillons de BolognaFiere.</w:t>
      </w:r>
    </w:p>
    <w:p w14:paraId="00DCA2DE" w14:textId="77777777" w:rsidR="00DE24F6" w:rsidRPr="00B9511F" w:rsidRDefault="00DE24F6">
      <w:pPr>
        <w:ind w:left="2268"/>
        <w:jc w:val="both"/>
        <w:rPr>
          <w:lang w:val="fr-FR"/>
        </w:rPr>
      </w:pPr>
    </w:p>
    <w:p w14:paraId="2B60D247" w14:textId="689D76F1" w:rsidR="00DE24F6" w:rsidRPr="00B9511F" w:rsidRDefault="007B6C24">
      <w:pPr>
        <w:ind w:left="2268"/>
        <w:jc w:val="both"/>
        <w:rPr>
          <w:lang w:val="fr-FR"/>
        </w:rPr>
      </w:pPr>
      <w:bookmarkStart w:id="1" w:name="_GoBack"/>
      <w:r w:rsidRPr="00B9511F">
        <w:rPr>
          <w:lang w:val="fr-FR"/>
        </w:rPr>
        <w:t xml:space="preserve">Plus de 60 % des solutions introduites par les entreprises concernent le </w:t>
      </w:r>
      <w:bookmarkEnd w:id="1"/>
      <w:r w:rsidRPr="00B9511F">
        <w:rPr>
          <w:lang w:val="fr-FR"/>
        </w:rPr>
        <w:t xml:space="preserve">contrôle et la surveillance à distance des cultures et des sols, ainsi que les technologies d'aide à la décision. 75 % des innovations sont représentées </w:t>
      </w:r>
      <w:r w:rsidRPr="00B9511F">
        <w:rPr>
          <w:lang w:val="fr-FR"/>
        </w:rPr>
        <w:t>par des systèmes de collecte et de valorisation des données, 59 % par des solutions IdO</w:t>
      </w:r>
      <w:r w:rsidR="00B9511F">
        <w:rPr>
          <w:lang w:val="fr-FR"/>
        </w:rPr>
        <w:t>,</w:t>
      </w:r>
      <w:r w:rsidRPr="00B9511F">
        <w:rPr>
          <w:lang w:val="fr-FR"/>
        </w:rPr>
        <w:t xml:space="preserve"> 58 % par des plateformes logicielles. L’intelligence artificielle et le machine learning sont quant à eux encore peu utilisés. </w:t>
      </w:r>
    </w:p>
    <w:p w14:paraId="3C6FA70A" w14:textId="0DD58619" w:rsidR="00DE24F6" w:rsidRPr="00B9511F" w:rsidRDefault="007B6C24">
      <w:pPr>
        <w:ind w:left="2268"/>
        <w:jc w:val="both"/>
        <w:rPr>
          <w:lang w:val="fr-FR"/>
        </w:rPr>
      </w:pPr>
      <w:r w:rsidRPr="00B9511F">
        <w:rPr>
          <w:lang w:val="fr-FR"/>
        </w:rPr>
        <w:t>La présentation de l'analyse a également</w:t>
      </w:r>
      <w:r w:rsidRPr="00B9511F">
        <w:rPr>
          <w:lang w:val="fr-FR"/>
        </w:rPr>
        <w:t xml:space="preserve"> permis d'illustrer le projet européen QuantiFarm, qui implique 100 entrepreneurs agricoles dans 20 pays pour </w:t>
      </w:r>
      <w:r w:rsidR="00C64235">
        <w:rPr>
          <w:lang w:val="fr-FR"/>
        </w:rPr>
        <w:t xml:space="preserve">étudier </w:t>
      </w:r>
      <w:r w:rsidRPr="00B9511F">
        <w:rPr>
          <w:lang w:val="fr-FR"/>
        </w:rPr>
        <w:t>les impacts des technologies 4.0 sur les revenus, la rentabilité, l'environnement et la qualité de vie des agriculteurs. Certaines expéri</w:t>
      </w:r>
      <w:r w:rsidRPr="00B9511F">
        <w:rPr>
          <w:lang w:val="fr-FR"/>
        </w:rPr>
        <w:t xml:space="preserve">ences ont permis de confirmer les avantages garantis par une gestion 4.0 de l'entreprise agricole. La plupart des cas examinés jusqu'à présent ont en effet enregistré une croissance des revenus </w:t>
      </w:r>
      <w:r w:rsidR="00C64235">
        <w:rPr>
          <w:lang w:val="fr-FR"/>
        </w:rPr>
        <w:t>tout en réduisant</w:t>
      </w:r>
      <w:r w:rsidRPr="00B9511F">
        <w:rPr>
          <w:lang w:val="fr-FR"/>
        </w:rPr>
        <w:t xml:space="preserve"> la consommation d'eau, d'éne</w:t>
      </w:r>
      <w:r w:rsidRPr="00B9511F">
        <w:rPr>
          <w:lang w:val="fr-FR"/>
        </w:rPr>
        <w:t xml:space="preserve">rgie et de carburant. L'impact social est également important, avec un meilleur équilibre entre vie privée et vie professionnelle. </w:t>
      </w:r>
    </w:p>
    <w:p w14:paraId="6EF0B5AC" w14:textId="77777777" w:rsidR="00DE24F6" w:rsidRPr="00B9511F" w:rsidRDefault="00DE24F6">
      <w:pPr>
        <w:ind w:left="2127" w:right="-150"/>
        <w:jc w:val="both"/>
        <w:rPr>
          <w:sz w:val="23"/>
          <w:lang w:val="fr-FR"/>
        </w:rPr>
      </w:pPr>
    </w:p>
    <w:p w14:paraId="23768298" w14:textId="013C6B62" w:rsidR="00DE24F6" w:rsidRPr="00B9511F" w:rsidRDefault="007B6C24">
      <w:pPr>
        <w:pStyle w:val="P68B1DB1-Normale3"/>
        <w:ind w:left="2127" w:right="-150"/>
        <w:jc w:val="both"/>
        <w:rPr>
          <w:lang w:val="fr-FR"/>
        </w:rPr>
      </w:pPr>
      <w:r w:rsidRPr="00B9511F">
        <w:rPr>
          <w:lang w:val="fr-FR"/>
        </w:rPr>
        <w:t xml:space="preserve"> Bologne, le 7 novembre 2024</w:t>
      </w:r>
    </w:p>
    <w:p w14:paraId="372C8417" w14:textId="26CF64FA" w:rsidR="00DE24F6" w:rsidRPr="00B9511F" w:rsidRDefault="00DE24F6">
      <w:pPr>
        <w:pBdr>
          <w:top w:val="nil"/>
          <w:left w:val="nil"/>
          <w:bottom w:val="nil"/>
          <w:right w:val="nil"/>
          <w:between w:val="nil"/>
          <w:bar w:val="nil"/>
        </w:pBdr>
        <w:tabs>
          <w:tab w:val="left" w:pos="2127"/>
        </w:tabs>
        <w:ind w:right="-150"/>
        <w:jc w:val="both"/>
        <w:rPr>
          <w:rFonts w:eastAsia="Arial Unicode MS"/>
          <w:b/>
          <w:i/>
          <w:color w:val="000000"/>
          <w:sz w:val="23"/>
          <w:u w:color="000000"/>
          <w:bdr w:val="nil"/>
          <w:lang w:val="fr-FR"/>
        </w:rPr>
      </w:pPr>
    </w:p>
    <w:sectPr w:rsidR="00DE24F6" w:rsidRPr="00B9511F">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B2ED2" w14:textId="77777777" w:rsidR="007B6C24" w:rsidRDefault="007B6C24">
      <w:r>
        <w:separator/>
      </w:r>
    </w:p>
  </w:endnote>
  <w:endnote w:type="continuationSeparator" w:id="0">
    <w:p w14:paraId="6EBB5E01" w14:textId="77777777" w:rsidR="007B6C24" w:rsidRDefault="007B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E4050" w14:textId="77777777" w:rsidR="007B6C24" w:rsidRDefault="007B6C24">
      <w:r>
        <w:separator/>
      </w:r>
    </w:p>
  </w:footnote>
  <w:footnote w:type="continuationSeparator" w:id="0">
    <w:p w14:paraId="58EE5A02" w14:textId="77777777" w:rsidR="007B6C24" w:rsidRDefault="007B6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DE24F6" w:rsidRDefault="007B6C24">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B5BE7"/>
    <w:rsid w:val="000C42E5"/>
    <w:rsid w:val="000C552A"/>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839AE"/>
    <w:rsid w:val="004D7DCB"/>
    <w:rsid w:val="00557A6D"/>
    <w:rsid w:val="00590BF8"/>
    <w:rsid w:val="006761F4"/>
    <w:rsid w:val="006E0FCB"/>
    <w:rsid w:val="006E2603"/>
    <w:rsid w:val="007148A8"/>
    <w:rsid w:val="00725234"/>
    <w:rsid w:val="00751C16"/>
    <w:rsid w:val="00774B84"/>
    <w:rsid w:val="007870B2"/>
    <w:rsid w:val="007912B3"/>
    <w:rsid w:val="007A5169"/>
    <w:rsid w:val="007B6C24"/>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9511F"/>
    <w:rsid w:val="00BA64C4"/>
    <w:rsid w:val="00BC5F3E"/>
    <w:rsid w:val="00BD3494"/>
    <w:rsid w:val="00BF58EF"/>
    <w:rsid w:val="00C64235"/>
    <w:rsid w:val="00CA0B36"/>
    <w:rsid w:val="00CE1062"/>
    <w:rsid w:val="00CF1420"/>
    <w:rsid w:val="00CF5BC8"/>
    <w:rsid w:val="00D3234E"/>
    <w:rsid w:val="00D65F12"/>
    <w:rsid w:val="00DC159E"/>
    <w:rsid w:val="00DD0A4A"/>
    <w:rsid w:val="00DD36A6"/>
    <w:rsid w:val="00DE24F6"/>
    <w:rsid w:val="00DE42DB"/>
    <w:rsid w:val="00E041D8"/>
    <w:rsid w:val="00E34961"/>
    <w:rsid w:val="00E62EF9"/>
    <w:rsid w:val="00E90625"/>
    <w:rsid w:val="00EC2BD8"/>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rPr>
  </w:style>
  <w:style w:type="paragraph" w:customStyle="1" w:styleId="P68B1DB1-Normale3">
    <w:name w:val="P68B1DB1-Normale3"/>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2006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2353</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5</cp:revision>
  <cp:lastPrinted>2024-11-06T18:07:00Z</cp:lastPrinted>
  <dcterms:created xsi:type="dcterms:W3CDTF">2024-11-07T18:11:00Z</dcterms:created>
  <dcterms:modified xsi:type="dcterms:W3CDTF">2024-11-08T08:03:00Z</dcterms:modified>
</cp:coreProperties>
</file>